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D23" w:rsidRPr="00F56B8B" w:rsidRDefault="00D87D23" w:rsidP="009B2D23">
      <w:pPr>
        <w:widowControl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56B8B">
        <w:rPr>
          <w:rFonts w:ascii="Arial" w:hAnsi="Arial" w:cs="Arial"/>
          <w:b/>
          <w:sz w:val="24"/>
          <w:szCs w:val="24"/>
        </w:rPr>
        <w:t>Workshop Abstract</w:t>
      </w:r>
      <w:r w:rsidR="009B2D23" w:rsidRPr="00F56B8B">
        <w:rPr>
          <w:rFonts w:ascii="Arial" w:hAnsi="Arial" w:cs="Arial"/>
          <w:b/>
          <w:sz w:val="24"/>
          <w:szCs w:val="24"/>
        </w:rPr>
        <w:t xml:space="preserve"> Submission </w:t>
      </w:r>
      <w:r w:rsidR="00DA1816" w:rsidRPr="00F56B8B">
        <w:rPr>
          <w:rFonts w:ascii="Arial" w:hAnsi="Arial" w:cs="Arial"/>
          <w:b/>
          <w:sz w:val="24"/>
          <w:szCs w:val="24"/>
        </w:rPr>
        <w:t>Template</w:t>
      </w:r>
    </w:p>
    <w:p w:rsidR="009B2D23" w:rsidRPr="00F56B8B" w:rsidRDefault="009B2D23" w:rsidP="009B2D23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56B8B">
        <w:rPr>
          <w:rFonts w:ascii="Arial" w:hAnsi="Arial" w:cs="Arial"/>
          <w:b/>
          <w:sz w:val="24"/>
          <w:szCs w:val="24"/>
        </w:rPr>
        <w:t>Formatting:</w:t>
      </w:r>
    </w:p>
    <w:p w:rsidR="009B2D23" w:rsidRPr="00F56B8B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56B8B">
        <w:rPr>
          <w:rFonts w:ascii="Arial" w:hAnsi="Arial" w:cs="Arial"/>
          <w:sz w:val="24"/>
          <w:szCs w:val="24"/>
        </w:rPr>
        <w:t>Font: Arial 12, black</w:t>
      </w:r>
    </w:p>
    <w:p w:rsidR="009B2D23" w:rsidRPr="00F56B8B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56B8B">
        <w:rPr>
          <w:rFonts w:ascii="Arial" w:hAnsi="Arial" w:cs="Arial"/>
          <w:sz w:val="24"/>
          <w:szCs w:val="24"/>
        </w:rPr>
        <w:t>Word count: 300 words</w:t>
      </w:r>
    </w:p>
    <w:p w:rsidR="009B2D23" w:rsidRPr="00F56B8B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56B8B">
        <w:rPr>
          <w:rFonts w:ascii="Arial" w:hAnsi="Arial" w:cs="Arial"/>
          <w:sz w:val="24"/>
          <w:szCs w:val="24"/>
        </w:rPr>
        <w:t>Line spacing: 1.5</w:t>
      </w:r>
    </w:p>
    <w:p w:rsidR="009B2D23" w:rsidRPr="00F56B8B" w:rsidRDefault="009B2D23" w:rsidP="009B2D2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B2D23" w:rsidRPr="00F56B8B" w:rsidRDefault="009B2D23" w:rsidP="009B2D23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56B8B">
        <w:rPr>
          <w:rFonts w:ascii="Arial" w:hAnsi="Arial" w:cs="Arial"/>
          <w:b/>
          <w:sz w:val="24"/>
          <w:szCs w:val="24"/>
        </w:rPr>
        <w:t>Criteria: all submissions will be reviewed against the following criteria:</w:t>
      </w:r>
    </w:p>
    <w:p w:rsidR="009B2D23" w:rsidRPr="00F56B8B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56B8B">
        <w:rPr>
          <w:rFonts w:ascii="Arial" w:hAnsi="Arial" w:cs="Arial"/>
          <w:sz w:val="24"/>
          <w:szCs w:val="24"/>
        </w:rPr>
        <w:t>Audience – relevance to this conference audience</w:t>
      </w:r>
    </w:p>
    <w:p w:rsidR="009B2D23" w:rsidRPr="00F56B8B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56B8B">
        <w:rPr>
          <w:rFonts w:ascii="Arial" w:hAnsi="Arial" w:cs="Arial"/>
          <w:sz w:val="24"/>
          <w:szCs w:val="24"/>
        </w:rPr>
        <w:t>Themes – relevance to the conference themes</w:t>
      </w:r>
    </w:p>
    <w:p w:rsidR="009B2D23" w:rsidRPr="00F56B8B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56B8B">
        <w:rPr>
          <w:rFonts w:ascii="Arial" w:hAnsi="Arial" w:cs="Arial"/>
          <w:sz w:val="24"/>
          <w:szCs w:val="24"/>
        </w:rPr>
        <w:t>Quality – appropriate educational, evaluation or research methodology and clarity</w:t>
      </w:r>
    </w:p>
    <w:p w:rsidR="001646D1" w:rsidRPr="00F56B8B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56B8B">
        <w:rPr>
          <w:rFonts w:ascii="Arial" w:hAnsi="Arial" w:cs="Arial"/>
          <w:sz w:val="24"/>
          <w:szCs w:val="24"/>
        </w:rPr>
        <w:t>Content – presenting new work or building upon existing work (new news; not old).</w:t>
      </w:r>
    </w:p>
    <w:p w:rsidR="009B2D23" w:rsidRPr="00F56B8B" w:rsidRDefault="009B2D23" w:rsidP="009B2D2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3114"/>
        <w:gridCol w:w="6946"/>
      </w:tblGrid>
      <w:tr w:rsidR="00712762" w:rsidRPr="00F56B8B" w:rsidTr="00A31574">
        <w:trPr>
          <w:jc w:val="center"/>
        </w:trPr>
        <w:tc>
          <w:tcPr>
            <w:tcW w:w="3114" w:type="dxa"/>
          </w:tcPr>
          <w:p w:rsidR="00CB6F31" w:rsidRPr="00F56B8B" w:rsidRDefault="00CB6F31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Workshop Type:</w:t>
            </w:r>
          </w:p>
        </w:tc>
        <w:tc>
          <w:tcPr>
            <w:tcW w:w="6946" w:type="dxa"/>
          </w:tcPr>
          <w:p w:rsidR="00CB6F31" w:rsidRPr="00F56B8B" w:rsidRDefault="00C12225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55606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CB6F31" w:rsidRPr="00F56B8B">
              <w:rPr>
                <w:rFonts w:ascii="Arial" w:hAnsi="Arial" w:cs="Arial"/>
                <w:b/>
                <w:sz w:val="24"/>
                <w:szCs w:val="24"/>
              </w:rPr>
              <w:t>tandard Workshop Abstract</w:t>
            </w:r>
          </w:p>
          <w:p w:rsidR="00CB6F31" w:rsidRPr="00F56B8B" w:rsidRDefault="00C12225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36358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B6F31" w:rsidRPr="00F56B8B">
              <w:rPr>
                <w:rFonts w:ascii="Arial" w:hAnsi="Arial" w:cs="Arial"/>
                <w:b/>
                <w:sz w:val="24"/>
                <w:szCs w:val="24"/>
              </w:rPr>
              <w:t xml:space="preserve">Unplugged Workshop Abstract </w:t>
            </w:r>
          </w:p>
          <w:p w:rsidR="00CB6F31" w:rsidRPr="00F56B8B" w:rsidRDefault="00CB6F31" w:rsidP="00CB6F31">
            <w:pPr>
              <w:widowControl w:val="0"/>
              <w:spacing w:before="80" w:after="80"/>
              <w:rPr>
                <w:rFonts w:ascii="Arial" w:hAnsi="Arial" w:cs="Arial"/>
                <w:i/>
                <w:sz w:val="24"/>
                <w:szCs w:val="24"/>
              </w:rPr>
            </w:pPr>
            <w:r w:rsidRPr="00F56B8B">
              <w:rPr>
                <w:rFonts w:ascii="Arial" w:hAnsi="Arial" w:cs="Arial"/>
                <w:i/>
                <w:sz w:val="24"/>
                <w:szCs w:val="24"/>
              </w:rPr>
              <w:t xml:space="preserve">     (no AV equipment/support required)</w:t>
            </w: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CB6F31" w:rsidRPr="00F56B8B" w:rsidRDefault="00CB6F31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Workshop Title:</w:t>
            </w:r>
          </w:p>
        </w:tc>
        <w:tc>
          <w:tcPr>
            <w:tcW w:w="6946" w:type="dxa"/>
          </w:tcPr>
          <w:p w:rsidR="00CB6F31" w:rsidRPr="00F56B8B" w:rsidRDefault="00CB6F31" w:rsidP="00CB6F31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F56B8B">
              <w:rPr>
                <w:rFonts w:ascii="Arial" w:hAnsi="Arial" w:cs="Arial"/>
                <w:sz w:val="24"/>
                <w:szCs w:val="24"/>
              </w:rPr>
              <w:t>Arial, bold, size 12 (no unnecessary capitalisation)</w:t>
            </w: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CB6F31" w:rsidRPr="00F56B8B" w:rsidRDefault="00CB6F31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Sub-Theme:</w:t>
            </w:r>
          </w:p>
        </w:tc>
        <w:tc>
          <w:tcPr>
            <w:tcW w:w="6946" w:type="dxa"/>
          </w:tcPr>
          <w:p w:rsidR="00C12225" w:rsidRPr="009B2D23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33839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33A3B">
              <w:rPr>
                <w:rFonts w:ascii="Arial" w:hAnsi="Arial" w:cs="Arial"/>
                <w:b/>
                <w:sz w:val="24"/>
                <w:szCs w:val="24"/>
              </w:rPr>
              <w:t>The communities in which we work</w:t>
            </w:r>
          </w:p>
          <w:p w:rsidR="00C12225" w:rsidRPr="009B2D23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2006186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The registrars’ communities</w:t>
            </w:r>
          </w:p>
          <w:p w:rsidR="00CB6F31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29525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Learning communities</w:t>
            </w: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CB6F31" w:rsidRPr="00F56B8B" w:rsidRDefault="00CB6F31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Keywords:</w:t>
            </w:r>
          </w:p>
        </w:tc>
        <w:tc>
          <w:tcPr>
            <w:tcW w:w="6946" w:type="dxa"/>
          </w:tcPr>
          <w:p w:rsidR="00CB6F31" w:rsidRPr="00F56B8B" w:rsidRDefault="00CB6F31" w:rsidP="00CB6F31">
            <w:pPr>
              <w:widowControl w:val="0"/>
              <w:spacing w:before="80" w:after="80"/>
              <w:rPr>
                <w:rFonts w:ascii="Arial" w:hAnsi="Arial" w:cs="Arial"/>
                <w:i/>
                <w:sz w:val="24"/>
                <w:szCs w:val="24"/>
              </w:rPr>
            </w:pPr>
            <w:r w:rsidRPr="00F56B8B">
              <w:rPr>
                <w:rFonts w:ascii="Arial" w:hAnsi="Arial" w:cs="Arial"/>
                <w:sz w:val="24"/>
                <w:szCs w:val="24"/>
              </w:rPr>
              <w:t xml:space="preserve">Arial, size 12 – </w:t>
            </w:r>
            <w:r w:rsidRPr="00F56B8B">
              <w:rPr>
                <w:rFonts w:ascii="Arial" w:hAnsi="Arial" w:cs="Arial"/>
                <w:i/>
                <w:sz w:val="24"/>
                <w:szCs w:val="24"/>
              </w:rPr>
              <w:t>Please provide up to four keywords</w:t>
            </w: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9B2D23" w:rsidRPr="00F56B8B" w:rsidRDefault="009B2D23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Background / Rationale</w:t>
            </w:r>
          </w:p>
        </w:tc>
        <w:tc>
          <w:tcPr>
            <w:tcW w:w="6946" w:type="dxa"/>
          </w:tcPr>
          <w:p w:rsidR="009B2D23" w:rsidRPr="00F56B8B" w:rsidRDefault="009B2D23" w:rsidP="00CB6F31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9B2D23" w:rsidRPr="00F56B8B" w:rsidRDefault="00CB6F31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Workshop structure and content</w:t>
            </w:r>
          </w:p>
        </w:tc>
        <w:tc>
          <w:tcPr>
            <w:tcW w:w="6946" w:type="dxa"/>
          </w:tcPr>
          <w:p w:rsidR="009B2D23" w:rsidRPr="00F56B8B" w:rsidRDefault="009B2D23" w:rsidP="00CB6F31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9B2D23" w:rsidRPr="00F56B8B" w:rsidRDefault="00CB6F31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Learning objectives</w:t>
            </w:r>
          </w:p>
        </w:tc>
        <w:tc>
          <w:tcPr>
            <w:tcW w:w="6946" w:type="dxa"/>
          </w:tcPr>
          <w:p w:rsidR="009B2D23" w:rsidRPr="00F56B8B" w:rsidRDefault="009B2D23" w:rsidP="00CB6F31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9B2D23" w:rsidRPr="00F56B8B" w:rsidRDefault="00CB6F31" w:rsidP="00CB6F31">
            <w:pPr>
              <w:widowControl w:val="0"/>
              <w:spacing w:before="80" w:after="8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Interactive learning strategies</w:t>
            </w:r>
          </w:p>
        </w:tc>
        <w:tc>
          <w:tcPr>
            <w:tcW w:w="6946" w:type="dxa"/>
          </w:tcPr>
          <w:p w:rsidR="009B2D23" w:rsidRPr="00F56B8B" w:rsidRDefault="009B2D23" w:rsidP="00CB6F31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DA1816" w:rsidRPr="00F56B8B" w:rsidRDefault="00DA1816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 xml:space="preserve">Desired </w:t>
            </w:r>
            <w:r w:rsidR="00CB6F31" w:rsidRPr="00F56B8B">
              <w:rPr>
                <w:rFonts w:ascii="Arial" w:hAnsi="Arial" w:cs="Arial"/>
                <w:b/>
                <w:sz w:val="24"/>
                <w:szCs w:val="24"/>
              </w:rPr>
              <w:t>Workshop Length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B2D23" w:rsidRPr="00F56B8B" w:rsidRDefault="00DA1816" w:rsidP="00CB6F31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F56B8B">
              <w:rPr>
                <w:rFonts w:ascii="Arial" w:hAnsi="Arial" w:cs="Arial"/>
                <w:sz w:val="24"/>
                <w:szCs w:val="24"/>
              </w:rPr>
              <w:t>(please indicate preference from 1-3: 1 being most prefer</w:t>
            </w:r>
            <w:r w:rsidR="00A458D4" w:rsidRPr="00F56B8B">
              <w:rPr>
                <w:rFonts w:ascii="Arial" w:hAnsi="Arial" w:cs="Arial"/>
                <w:sz w:val="24"/>
                <w:szCs w:val="24"/>
              </w:rPr>
              <w:t>red</w:t>
            </w:r>
            <w:r w:rsidR="006D096F" w:rsidRPr="00F56B8B">
              <w:rPr>
                <w:rFonts w:ascii="Arial" w:hAnsi="Arial" w:cs="Arial"/>
                <w:sz w:val="24"/>
                <w:szCs w:val="24"/>
              </w:rPr>
              <w:t xml:space="preserve"> length</w:t>
            </w:r>
            <w:r w:rsidR="00A458D4" w:rsidRPr="00F56B8B">
              <w:rPr>
                <w:rFonts w:ascii="Arial" w:hAnsi="Arial" w:cs="Arial"/>
                <w:sz w:val="24"/>
                <w:szCs w:val="24"/>
              </w:rPr>
              <w:t>, to 3 being least preferred</w:t>
            </w:r>
            <w:r w:rsidRPr="00F56B8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946" w:type="dxa"/>
          </w:tcPr>
          <w:p w:rsidR="00CB6F31" w:rsidRPr="00F56B8B" w:rsidRDefault="00DA1816" w:rsidP="00CB6F31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 xml:space="preserve">__  </w:t>
            </w:r>
            <w:r w:rsidR="00CB6F31" w:rsidRPr="00F56B8B">
              <w:rPr>
                <w:rFonts w:ascii="Arial" w:hAnsi="Arial" w:cs="Arial"/>
                <w:b/>
                <w:sz w:val="24"/>
                <w:szCs w:val="24"/>
              </w:rPr>
              <w:t xml:space="preserve">1 hour </w:t>
            </w:r>
          </w:p>
          <w:p w:rsidR="006D096F" w:rsidRPr="00F56B8B" w:rsidRDefault="006D096F" w:rsidP="00CB6F31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F31" w:rsidRPr="00F56B8B" w:rsidRDefault="00DA1816" w:rsidP="00CB6F31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 xml:space="preserve">__  </w:t>
            </w:r>
            <w:r w:rsidR="00CB6F31" w:rsidRPr="00F56B8B">
              <w:rPr>
                <w:rFonts w:ascii="Arial" w:hAnsi="Arial" w:cs="Arial"/>
                <w:b/>
                <w:sz w:val="24"/>
                <w:szCs w:val="24"/>
              </w:rPr>
              <w:t>1.5 hour</w:t>
            </w:r>
          </w:p>
          <w:p w:rsidR="006D096F" w:rsidRPr="00F56B8B" w:rsidRDefault="006D096F" w:rsidP="00CB6F31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2D23" w:rsidRPr="00F56B8B" w:rsidRDefault="00DA1816" w:rsidP="00CB6F31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 xml:space="preserve">__  </w:t>
            </w:r>
            <w:r w:rsidR="00CB6F31" w:rsidRPr="00F56B8B">
              <w:rPr>
                <w:rFonts w:ascii="Arial" w:hAnsi="Arial" w:cs="Arial"/>
                <w:b/>
                <w:sz w:val="24"/>
                <w:szCs w:val="24"/>
              </w:rPr>
              <w:t>2.5 hours</w:t>
            </w: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CB6F31" w:rsidRPr="00F56B8B" w:rsidRDefault="00CB6F31" w:rsidP="00CB6F31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lastRenderedPageBreak/>
              <w:t>Workshop Capacity</w:t>
            </w:r>
          </w:p>
        </w:tc>
        <w:tc>
          <w:tcPr>
            <w:tcW w:w="6946" w:type="dxa"/>
          </w:tcPr>
          <w:p w:rsidR="00CB6F31" w:rsidRPr="00F56B8B" w:rsidRDefault="00CB6F31" w:rsidP="00CB6F31">
            <w:pPr>
              <w:spacing w:before="80" w:after="80"/>
              <w:textAlignment w:val="baseline"/>
              <w:rPr>
                <w:rFonts w:ascii="Arial" w:hAnsi="Arial" w:cs="Arial"/>
                <w:i/>
                <w:sz w:val="24"/>
                <w:szCs w:val="24"/>
                <w:lang w:eastAsia="en-AU"/>
              </w:rPr>
            </w:pPr>
            <w:r w:rsidRPr="00F56B8B">
              <w:rPr>
                <w:rFonts w:ascii="Arial" w:hAnsi="Arial" w:cs="Arial"/>
                <w:i/>
                <w:sz w:val="24"/>
                <w:szCs w:val="24"/>
                <w:lang w:eastAsia="en-AU"/>
              </w:rPr>
              <w:t>All standard 1 and 1.5 hour workshops must accommodate a minimum of 35 people. All 2 hour workshops must accommodate a minimum of 50 people.</w:t>
            </w:r>
          </w:p>
          <w:p w:rsidR="00CB6F31" w:rsidRPr="00F56B8B" w:rsidRDefault="00712762" w:rsidP="00CB6F31">
            <w:pPr>
              <w:spacing w:before="80" w:after="80"/>
              <w:textAlignment w:val="baseline"/>
              <w:rPr>
                <w:rFonts w:ascii="Arial" w:hAnsi="Arial" w:cs="Arial"/>
                <w:i/>
                <w:sz w:val="24"/>
                <w:szCs w:val="24"/>
                <w:lang w:eastAsia="en-AU"/>
              </w:rPr>
            </w:pPr>
            <w:r w:rsidRPr="00F56B8B">
              <w:rPr>
                <w:rFonts w:ascii="Arial" w:hAnsi="Arial" w:cs="Arial"/>
                <w:i/>
                <w:sz w:val="24"/>
                <w:szCs w:val="24"/>
                <w:lang w:eastAsia="en-AU"/>
              </w:rPr>
              <w:t xml:space="preserve"> </w:t>
            </w:r>
          </w:p>
          <w:p w:rsidR="00CB6F31" w:rsidRPr="00F56B8B" w:rsidRDefault="00CB6F31" w:rsidP="00CB6F31">
            <w:pPr>
              <w:spacing w:before="80" w:after="8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6B8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Unplugged workshops must be designed to cater for 20–25 people.</w:t>
            </w:r>
          </w:p>
        </w:tc>
      </w:tr>
      <w:tr w:rsidR="00712762" w:rsidRPr="00F56B8B" w:rsidTr="00A31574">
        <w:trPr>
          <w:jc w:val="center"/>
        </w:trPr>
        <w:tc>
          <w:tcPr>
            <w:tcW w:w="3114" w:type="dxa"/>
          </w:tcPr>
          <w:p w:rsidR="00CB6F31" w:rsidRPr="00F56B8B" w:rsidRDefault="00CB6F31" w:rsidP="00CB6F31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Explain how the workshop can cater to the capacity specified</w:t>
            </w:r>
          </w:p>
        </w:tc>
        <w:tc>
          <w:tcPr>
            <w:tcW w:w="6946" w:type="dxa"/>
          </w:tcPr>
          <w:p w:rsidR="00CB6F31" w:rsidRPr="00F56B8B" w:rsidRDefault="00CB6F31" w:rsidP="00CB6F31">
            <w:pPr>
              <w:spacing w:before="80" w:after="80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F56B8B">
              <w:rPr>
                <w:rFonts w:ascii="Arial" w:hAnsi="Arial" w:cs="Arial"/>
                <w:i/>
                <w:sz w:val="24"/>
                <w:szCs w:val="24"/>
              </w:rPr>
              <w:t>Is this a 1-hour or 1.5-hour workshop? If so, explain how the workshop can cater to 35 people:</w:t>
            </w:r>
          </w:p>
          <w:p w:rsidR="00CB6F31" w:rsidRPr="00F56B8B" w:rsidRDefault="00CB6F31" w:rsidP="00CB6F31">
            <w:pPr>
              <w:spacing w:before="80" w:after="8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F31" w:rsidRPr="00F56B8B" w:rsidRDefault="00CB6F31" w:rsidP="00CB6F31">
            <w:pPr>
              <w:spacing w:before="80" w:after="80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F56B8B">
              <w:rPr>
                <w:rFonts w:ascii="Arial" w:hAnsi="Arial" w:cs="Arial"/>
                <w:i/>
                <w:sz w:val="24"/>
                <w:szCs w:val="24"/>
              </w:rPr>
              <w:t>Is this a 2.5-hour workshop? If so, explain how the workshop can cater to 50 people:</w:t>
            </w:r>
          </w:p>
        </w:tc>
      </w:tr>
      <w:tr w:rsidR="00CB6F31" w:rsidRPr="00F56B8B" w:rsidTr="00A31574">
        <w:trPr>
          <w:jc w:val="center"/>
        </w:trPr>
        <w:tc>
          <w:tcPr>
            <w:tcW w:w="3114" w:type="dxa"/>
          </w:tcPr>
          <w:p w:rsidR="00CB6F31" w:rsidRPr="00F56B8B" w:rsidRDefault="00CB6F31" w:rsidP="00CB6F31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Cross-Organisational Workshop</w:t>
            </w:r>
          </w:p>
        </w:tc>
        <w:tc>
          <w:tcPr>
            <w:tcW w:w="6946" w:type="dxa"/>
          </w:tcPr>
          <w:p w:rsidR="00CB6F31" w:rsidRDefault="00CB6F31" w:rsidP="00CB6F31">
            <w:pPr>
              <w:spacing w:before="80" w:after="80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F56B8B">
              <w:rPr>
                <w:rFonts w:ascii="Arial" w:hAnsi="Arial" w:cs="Arial"/>
                <w:i/>
                <w:sz w:val="24"/>
                <w:szCs w:val="24"/>
              </w:rPr>
              <w:t>Is this a cross-organisational workshop? If so, outline the other organisation/s involved and the cross-organisational nature of the workshop design and presentation</w:t>
            </w:r>
            <w:r w:rsidR="00F56B8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  <w:p w:rsidR="00F56B8B" w:rsidRPr="00F56B8B" w:rsidRDefault="00F56B8B" w:rsidP="00CB6F31">
            <w:pPr>
              <w:spacing w:before="80" w:after="80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458D4" w:rsidRPr="00F56B8B" w:rsidTr="00A31574">
        <w:trPr>
          <w:jc w:val="center"/>
        </w:trPr>
        <w:tc>
          <w:tcPr>
            <w:tcW w:w="3114" w:type="dxa"/>
          </w:tcPr>
          <w:p w:rsidR="00A458D4" w:rsidRPr="00F56B8B" w:rsidRDefault="006D096F" w:rsidP="00A458D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Which audiences do you think the session would be suitable for?</w:t>
            </w:r>
          </w:p>
        </w:tc>
        <w:tc>
          <w:tcPr>
            <w:tcW w:w="6946" w:type="dxa"/>
          </w:tcPr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71219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Academics/researchers</w:t>
            </w:r>
          </w:p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318243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23766">
              <w:rPr>
                <w:rFonts w:ascii="Arial" w:hAnsi="Arial" w:cs="Arial"/>
                <w:b/>
                <w:sz w:val="24"/>
                <w:szCs w:val="24"/>
              </w:rPr>
              <w:t>Aboriginal Health Training Post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 xml:space="preserve"> Staff</w:t>
            </w:r>
          </w:p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314559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Board/CEOs</w:t>
            </w:r>
          </w:p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40826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Cultural Educator</w:t>
            </w:r>
          </w:p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92063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Medical Educator</w:t>
            </w:r>
          </w:p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65278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Practice Manager</w:t>
            </w:r>
          </w:p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203499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Registrar</w:t>
            </w:r>
          </w:p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66677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RTO Staff</w:t>
            </w:r>
          </w:p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956475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Supervisors</w:t>
            </w:r>
          </w:p>
          <w:p w:rsidR="00C12225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95814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56B8B">
              <w:rPr>
                <w:rFonts w:ascii="Arial" w:hAnsi="Arial" w:cs="Arial"/>
                <w:b/>
                <w:sz w:val="24"/>
                <w:szCs w:val="24"/>
              </w:rPr>
              <w:t>Other  (please specify)</w:t>
            </w:r>
          </w:p>
          <w:p w:rsidR="00C12225" w:rsidRPr="00F56B8B" w:rsidRDefault="00C12225" w:rsidP="00C12225">
            <w:pPr>
              <w:widowControl w:val="0"/>
              <w:pBdr>
                <w:bottom w:val="single" w:sz="12" w:space="1" w:color="auto"/>
              </w:pBd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096F" w:rsidRPr="00F56B8B" w:rsidRDefault="00C12225" w:rsidP="00C12225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</w:p>
        </w:tc>
      </w:tr>
    </w:tbl>
    <w:p w:rsidR="009B2D23" w:rsidRPr="00F56B8B" w:rsidRDefault="009B2D23" w:rsidP="009B2D2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sectPr w:rsidR="009B2D23" w:rsidRPr="00F56B8B" w:rsidSect="00B63E82">
      <w:headerReference w:type="default" r:id="rId7"/>
      <w:pgSz w:w="11906" w:h="16838"/>
      <w:pgMar w:top="2835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D23" w:rsidRDefault="009B2D23" w:rsidP="009B2D23">
      <w:pPr>
        <w:spacing w:after="0" w:line="240" w:lineRule="auto"/>
      </w:pPr>
      <w:r>
        <w:separator/>
      </w:r>
    </w:p>
  </w:endnote>
  <w:endnote w:type="continuationSeparator" w:id="0">
    <w:p w:rsidR="009B2D23" w:rsidRDefault="009B2D23" w:rsidP="009B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D23" w:rsidRDefault="009B2D23" w:rsidP="009B2D23">
      <w:pPr>
        <w:spacing w:after="0" w:line="240" w:lineRule="auto"/>
      </w:pPr>
      <w:r>
        <w:separator/>
      </w:r>
    </w:p>
  </w:footnote>
  <w:footnote w:type="continuationSeparator" w:id="0">
    <w:p w:rsidR="009B2D23" w:rsidRDefault="009B2D23" w:rsidP="009B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D23" w:rsidRDefault="009B2D23" w:rsidP="009B2D23">
    <w:pPr>
      <w:pStyle w:val="Header"/>
      <w:jc w:val="center"/>
      <w:rPr>
        <w:rFonts w:ascii="Century Gothic" w:hAnsi="Century Gothic"/>
        <w:b/>
        <w:noProof/>
        <w:color w:val="808080"/>
        <w:lang w:eastAsia="en-AU"/>
      </w:rPr>
    </w:pPr>
    <w:r>
      <w:rPr>
        <w:rFonts w:ascii="Century Gothic" w:hAnsi="Century Gothic"/>
        <w:b/>
        <w:noProof/>
        <w:color w:val="808080"/>
        <w:lang w:eastAsia="en-AU"/>
      </w:rPr>
      <w:drawing>
        <wp:inline distT="0" distB="0" distL="0" distR="0">
          <wp:extent cx="5711825" cy="1258570"/>
          <wp:effectExtent l="0" t="0" r="3175" b="0"/>
          <wp:docPr id="18" name="Picture 18" descr="GPTEC 2017 - Conference Logo_rectang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PTEC 2017 - Conference Logo_rectang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182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2D23" w:rsidRDefault="009B2D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35AB"/>
    <w:multiLevelType w:val="hybridMultilevel"/>
    <w:tmpl w:val="5D62F2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226893"/>
    <w:multiLevelType w:val="hybridMultilevel"/>
    <w:tmpl w:val="2FB234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82EF9"/>
    <w:multiLevelType w:val="hybridMultilevel"/>
    <w:tmpl w:val="A276FC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1025F"/>
    <w:multiLevelType w:val="hybridMultilevel"/>
    <w:tmpl w:val="3B56BC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23"/>
    <w:rsid w:val="00114C71"/>
    <w:rsid w:val="001646D1"/>
    <w:rsid w:val="006D096F"/>
    <w:rsid w:val="00712762"/>
    <w:rsid w:val="00947779"/>
    <w:rsid w:val="009B2D23"/>
    <w:rsid w:val="00A31574"/>
    <w:rsid w:val="00A458D4"/>
    <w:rsid w:val="00B63E82"/>
    <w:rsid w:val="00BF370F"/>
    <w:rsid w:val="00C12225"/>
    <w:rsid w:val="00CB6F31"/>
    <w:rsid w:val="00D433A2"/>
    <w:rsid w:val="00D87D23"/>
    <w:rsid w:val="00DA1816"/>
    <w:rsid w:val="00F5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7DD5F045-2384-4588-A079-7981C3A2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2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D23"/>
  </w:style>
  <w:style w:type="paragraph" w:styleId="Footer">
    <w:name w:val="footer"/>
    <w:basedOn w:val="Normal"/>
    <w:link w:val="FooterChar"/>
    <w:uiPriority w:val="99"/>
    <w:unhideWhenUsed/>
    <w:rsid w:val="009B2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D23"/>
  </w:style>
  <w:style w:type="paragraph" w:styleId="ListParagraph">
    <w:name w:val="List Paragraph"/>
    <w:basedOn w:val="Normal"/>
    <w:uiPriority w:val="34"/>
    <w:qFormat/>
    <w:rsid w:val="009B2D23"/>
    <w:pPr>
      <w:ind w:left="720"/>
      <w:contextualSpacing/>
    </w:pPr>
  </w:style>
  <w:style w:type="table" w:styleId="TableGrid">
    <w:name w:val="Table Grid"/>
    <w:basedOn w:val="TableNormal"/>
    <w:uiPriority w:val="39"/>
    <w:rsid w:val="009B2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Mei Giam</dc:creator>
  <cp:keywords/>
  <dc:description/>
  <cp:lastModifiedBy>Li Mei Giam</cp:lastModifiedBy>
  <cp:revision>13</cp:revision>
  <dcterms:created xsi:type="dcterms:W3CDTF">2017-01-05T02:33:00Z</dcterms:created>
  <dcterms:modified xsi:type="dcterms:W3CDTF">2017-02-09T03:15:00Z</dcterms:modified>
</cp:coreProperties>
</file>